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4FDB" w14:textId="77777777" w:rsidR="0009604D" w:rsidRPr="0009604D" w:rsidRDefault="0009604D" w:rsidP="0009604D">
      <w:pPr>
        <w:pageBreakBefore/>
        <w:pBdr>
          <w:bottom w:val="single" w:sz="4" w:space="1" w:color="auto"/>
        </w:pBdr>
        <w:spacing w:before="100" w:beforeAutospacing="1" w:after="240" w:line="240" w:lineRule="auto"/>
        <w:ind w:left="3510" w:hanging="3330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14:ligatures w14:val="none"/>
        </w:rPr>
      </w:pPr>
      <w:r w:rsidRPr="0009604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14:ligatures w14:val="none"/>
        </w:rPr>
        <w:t>TITLE OF POSITION: PEDIATRIC REGISTERED NURSE</w:t>
      </w:r>
    </w:p>
    <w:p w14:paraId="7E2B2F90" w14:textId="77777777" w:rsidR="0009604D" w:rsidRPr="0009604D" w:rsidRDefault="0009604D" w:rsidP="0009604D">
      <w:pPr>
        <w:spacing w:before="100" w:beforeAutospacing="1" w:after="240" w:line="240" w:lineRule="auto"/>
        <w:ind w:left="-90"/>
        <w:rPr>
          <w:rFonts w:ascii="Arial" w:eastAsia="MS Mincho" w:hAnsi="Arial" w:cs="Arial"/>
          <w:b/>
          <w:iCs/>
          <w:kern w:val="0"/>
          <w:sz w:val="28"/>
          <w:szCs w:val="28"/>
          <w14:ligatures w14:val="none"/>
        </w:rPr>
      </w:pPr>
      <w:r w:rsidRPr="0009604D">
        <w:rPr>
          <w:rFonts w:ascii="Arial" w:eastAsia="MS Mincho" w:hAnsi="Arial" w:cs="Arial"/>
          <w:b/>
          <w:iCs/>
          <w:kern w:val="0"/>
          <w:sz w:val="28"/>
          <w:szCs w:val="28"/>
          <w14:ligatures w14:val="none"/>
        </w:rPr>
        <w:t>TITLE OF IMMEDIATE SUPERVISOR: DIRECTOR OF NURSING</w:t>
      </w:r>
    </w:p>
    <w:p w14:paraId="59CCB18E" w14:textId="77777777" w:rsidR="0009604D" w:rsidRPr="0009604D" w:rsidRDefault="0009604D" w:rsidP="0009604D">
      <w:pPr>
        <w:spacing w:before="100" w:beforeAutospacing="1" w:after="240" w:line="240" w:lineRule="auto"/>
        <w:ind w:left="-90"/>
        <w:rPr>
          <w:rFonts w:ascii="Arial" w:eastAsia="MS Mincho" w:hAnsi="Arial" w:cs="Arial"/>
          <w:b/>
          <w:iCs/>
          <w:kern w:val="0"/>
          <w:sz w:val="24"/>
          <w:szCs w:val="24"/>
          <w14:ligatures w14:val="none"/>
        </w:rPr>
      </w:pPr>
      <w:r w:rsidRPr="0009604D">
        <w:rPr>
          <w:rFonts w:ascii="Arial" w:eastAsia="MS Mincho" w:hAnsi="Arial" w:cs="Arial"/>
          <w:b/>
          <w:iCs/>
          <w:kern w:val="0"/>
          <w:sz w:val="24"/>
          <w:szCs w:val="24"/>
          <w14:ligatures w14:val="none"/>
        </w:rPr>
        <w:t>RISK OF EXPOSURE TO BLOODBORNE PATHOGENS - HIGH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"/>
        <w:gridCol w:w="7508"/>
        <w:gridCol w:w="1762"/>
        <w:gridCol w:w="618"/>
      </w:tblGrid>
      <w:tr w:rsidR="0009604D" w:rsidRPr="0009604D" w14:paraId="378AD4BC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CC4735F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 xml:space="preserve">DUTIES </w:t>
            </w:r>
          </w:p>
        </w:tc>
      </w:tr>
      <w:tr w:rsidR="0009604D" w:rsidRPr="0009604D" w14:paraId="55CC391C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63D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kern w:val="0"/>
                <w:sz w:val="20"/>
                <w:szCs w:val="20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To provide nursing care, in accordance with the pediatric patient's plan of care.</w:t>
            </w:r>
          </w:p>
        </w:tc>
      </w:tr>
      <w:tr w:rsidR="0009604D" w:rsidRPr="0009604D" w14:paraId="25C17BBE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6B7D70B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RESPONSIBILITIES</w:t>
            </w:r>
          </w:p>
        </w:tc>
      </w:tr>
      <w:tr w:rsidR="0009604D" w:rsidRPr="0009604D" w14:paraId="59AB7445" w14:textId="77777777" w:rsidTr="0009604D">
        <w:trPr>
          <w:gridBefore w:val="1"/>
          <w:gridAfter w:val="1"/>
          <w:wBefore w:w="192" w:type="dxa"/>
          <w:wAfter w:w="618" w:type="dxa"/>
          <w:trHeight w:val="5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EB16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Conduct initial, and ongoing, comprehensive assessments of the patient’s needs, including Outcome and Assessment Information Set (OASIS) assessments, and reassessments, at appropriate time points.</w:t>
            </w:r>
          </w:p>
        </w:tc>
      </w:tr>
      <w:tr w:rsidR="0009604D" w:rsidRPr="0009604D" w14:paraId="6FB2AF46" w14:textId="77777777" w:rsidTr="0009604D">
        <w:trPr>
          <w:gridBefore w:val="1"/>
          <w:gridAfter w:val="1"/>
          <w:wBefore w:w="192" w:type="dxa"/>
          <w:wAfter w:w="618" w:type="dxa"/>
          <w:trHeight w:val="5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DA2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Comprehensive health and psychosocial evaluation, monitoring of the patient's condition, health promotion and prevention, coordination of services, </w:t>
            </w:r>
            <w:proofErr w:type="gramStart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teaching</w:t>
            </w:r>
            <w:proofErr w:type="gramEnd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 and training activities.</w:t>
            </w:r>
          </w:p>
        </w:tc>
      </w:tr>
      <w:tr w:rsidR="0009604D" w:rsidRPr="0009604D" w14:paraId="1C13871F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FEF3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Initiate the plan of care and revise it, as necessary.</w:t>
            </w:r>
          </w:p>
        </w:tc>
      </w:tr>
      <w:tr w:rsidR="0009604D" w:rsidRPr="0009604D" w14:paraId="358598CE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77BF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Provide all services requiring specialized pediatric nursing skills.</w:t>
            </w:r>
          </w:p>
        </w:tc>
      </w:tr>
      <w:tr w:rsidR="0009604D" w:rsidRPr="0009604D" w14:paraId="02787C6F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613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Educate the patient, and family, regarding the disease process, self-care techniques, and prevention procedures.</w:t>
            </w:r>
          </w:p>
        </w:tc>
      </w:tr>
      <w:tr w:rsidR="0009604D" w:rsidRPr="0009604D" w14:paraId="384BDF00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6685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Initiate, and maintain, appropriate preventive, and rehabilitative, nursing procedures.</w:t>
            </w:r>
          </w:p>
        </w:tc>
      </w:tr>
      <w:tr w:rsidR="0009604D" w:rsidRPr="0009604D" w14:paraId="6E3A81AC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D5F2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Prepare clinical, and progress, notes; evaluate the effectiveness, and outcomes, of care.</w:t>
            </w:r>
          </w:p>
        </w:tc>
      </w:tr>
      <w:tr w:rsidR="0009604D" w:rsidRPr="0009604D" w14:paraId="350FB139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9EBE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Coordinate services with other departments and other appropriate care givers.</w:t>
            </w:r>
          </w:p>
        </w:tc>
      </w:tr>
      <w:tr w:rsidR="0009604D" w:rsidRPr="0009604D" w14:paraId="687CAA8B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9526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lastRenderedPageBreak/>
              <w:t>Analyze and provide chart assessments for case conferences.</w:t>
            </w:r>
          </w:p>
        </w:tc>
      </w:tr>
      <w:tr w:rsidR="0009604D" w:rsidRPr="0009604D" w14:paraId="6395567C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B3D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Act as a liaison with physicians, hospitals, and specialty organizations and provide them with information and instruction.</w:t>
            </w:r>
          </w:p>
        </w:tc>
      </w:tr>
      <w:tr w:rsidR="0009604D" w:rsidRPr="0009604D" w14:paraId="3D1C1613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BD24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Supervise LPNs, and paraprofessionals, providing services to the patient.</w:t>
            </w:r>
          </w:p>
        </w:tc>
      </w:tr>
      <w:tr w:rsidR="0009604D" w:rsidRPr="0009604D" w14:paraId="63BCCFE7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A473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Plan for the patient's discharge from the program.</w:t>
            </w:r>
          </w:p>
        </w:tc>
      </w:tr>
      <w:tr w:rsidR="0009604D" w:rsidRPr="0009604D" w14:paraId="2FA47DCD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C222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Participate in in-service programs.</w:t>
            </w:r>
          </w:p>
        </w:tc>
      </w:tr>
      <w:tr w:rsidR="0009604D" w:rsidRPr="0009604D" w14:paraId="09FFE0A8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47AE715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JOB CONDITIONS</w:t>
            </w:r>
          </w:p>
        </w:tc>
      </w:tr>
      <w:tr w:rsidR="0009604D" w:rsidRPr="0009604D" w14:paraId="795E0D6A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4035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be able to access patients’ homes, which may not be routinely wheelchair accessible.</w:t>
            </w:r>
          </w:p>
        </w:tc>
      </w:tr>
      <w:tr w:rsidR="0009604D" w:rsidRPr="0009604D" w14:paraId="284ACD68" w14:textId="77777777" w:rsidTr="0009604D">
        <w:trPr>
          <w:gridBefore w:val="1"/>
          <w:gridAfter w:val="1"/>
          <w:wBefore w:w="192" w:type="dxa"/>
          <w:wAfter w:w="618" w:type="dxa"/>
          <w:trHeight w:val="5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562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Hearing, eyesight, and physical dexterity must be sufficient to perform a physical assessment of the patient's condition and to perform patient care.</w:t>
            </w:r>
          </w:p>
        </w:tc>
      </w:tr>
      <w:tr w:rsidR="0009604D" w:rsidRPr="0009604D" w14:paraId="7752839E" w14:textId="77777777" w:rsidTr="0009604D">
        <w:trPr>
          <w:gridBefore w:val="1"/>
          <w:gridAfter w:val="1"/>
          <w:wBefore w:w="192" w:type="dxa"/>
          <w:wAfter w:w="618" w:type="dxa"/>
          <w:trHeight w:val="5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C939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Physical activities will include, walking, sitting, stooping, and standing and minimal to maximum lifting of patients and the turning of patients.</w:t>
            </w:r>
          </w:p>
        </w:tc>
      </w:tr>
      <w:tr w:rsidR="0009604D" w:rsidRPr="0009604D" w14:paraId="40A1B9E6" w14:textId="77777777" w:rsidTr="0009604D">
        <w:trPr>
          <w:gridBefore w:val="1"/>
          <w:gridAfter w:val="1"/>
          <w:wBefore w:w="192" w:type="dxa"/>
          <w:wAfter w:w="618" w:type="dxa"/>
          <w:trHeight w:val="576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4487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The ability to communicate, both verbally and in writing, is required as frequent communication, by telephone, and in writing in English, is required.</w:t>
            </w:r>
          </w:p>
        </w:tc>
      </w:tr>
      <w:tr w:rsidR="0009604D" w:rsidRPr="0009604D" w14:paraId="29C56630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176571A4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EQUIPMENT OPERATION</w:t>
            </w:r>
          </w:p>
        </w:tc>
      </w:tr>
      <w:tr w:rsidR="0009604D" w:rsidRPr="0009604D" w14:paraId="0BD3FB69" w14:textId="77777777" w:rsidTr="0009604D">
        <w:trPr>
          <w:gridBefore w:val="1"/>
          <w:gridAfter w:val="1"/>
          <w:wBefore w:w="192" w:type="dxa"/>
          <w:wAfter w:w="618" w:type="dxa"/>
          <w:trHeight w:val="360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0F77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0"/>
                <w:szCs w:val="20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Thermometer, B/P cuff, glucometer, penlight, hand washing materials.</w:t>
            </w:r>
          </w:p>
        </w:tc>
      </w:tr>
      <w:tr w:rsidR="0009604D" w:rsidRPr="0009604D" w14:paraId="3C0B276D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E60A0F1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COMPANY INFORMATION</w:t>
            </w:r>
          </w:p>
        </w:tc>
      </w:tr>
      <w:tr w:rsidR="0009604D" w:rsidRPr="0009604D" w14:paraId="414742FE" w14:textId="77777777" w:rsidTr="0009604D">
        <w:trPr>
          <w:gridBefore w:val="1"/>
          <w:gridAfter w:val="1"/>
          <w:wBefore w:w="192" w:type="dxa"/>
          <w:wAfter w:w="618" w:type="dxa"/>
          <w:trHeight w:val="43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4D54" w14:textId="77777777" w:rsidR="0009604D" w:rsidRPr="0009604D" w:rsidRDefault="0009604D" w:rsidP="0009604D">
            <w:pPr>
              <w:spacing w:before="220" w:after="200" w:line="273" w:lineRule="auto"/>
              <w:ind w:left="72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Has access to all patient medical records, personnel </w:t>
            </w:r>
            <w:proofErr w:type="gramStart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records</w:t>
            </w:r>
            <w:proofErr w:type="gramEnd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 and patient financial accounts, which may be discussed with the Clinical Manager.</w:t>
            </w:r>
          </w:p>
        </w:tc>
      </w:tr>
      <w:tr w:rsidR="0009604D" w:rsidRPr="0009604D" w14:paraId="24BFAC4E" w14:textId="77777777" w:rsidTr="0009604D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65E1DBF1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lastRenderedPageBreak/>
              <w:t>QUALIFICATIONS</w:t>
            </w:r>
          </w:p>
        </w:tc>
      </w:tr>
      <w:tr w:rsidR="0009604D" w:rsidRPr="0009604D" w14:paraId="46363211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FA8F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be a graduate from an accredited School of Nursing.</w:t>
            </w:r>
          </w:p>
        </w:tc>
      </w:tr>
      <w:tr w:rsidR="0009604D" w:rsidRPr="0009604D" w14:paraId="282CF30D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8228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A bachelor’s degree is preferred.</w:t>
            </w:r>
          </w:p>
        </w:tc>
      </w:tr>
      <w:tr w:rsidR="0009604D" w:rsidRPr="0009604D" w14:paraId="28B0362B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0E3D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be licensed in the state of Florida as a Registered Nurse.</w:t>
            </w:r>
          </w:p>
        </w:tc>
      </w:tr>
      <w:tr w:rsidR="0009604D" w:rsidRPr="0009604D" w14:paraId="2044DF05" w14:textId="77777777" w:rsidTr="0009604D">
        <w:trPr>
          <w:trHeight w:val="57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DAB4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One-year</w:t>
            </w:r>
            <w:proofErr w:type="gramEnd"/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 xml:space="preserve"> Pediatric Nursing experience is required, preferably in a Home Health Agency; should also have expertise in any specialized nursing procedures and equipment used for infants, children, and adolescents.  </w:t>
            </w:r>
          </w:p>
        </w:tc>
      </w:tr>
      <w:tr w:rsidR="0009604D" w:rsidRPr="0009604D" w14:paraId="7EA042F5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7C11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completed CPR and HIV courses.</w:t>
            </w:r>
          </w:p>
        </w:tc>
      </w:tr>
      <w:tr w:rsidR="0009604D" w:rsidRPr="0009604D" w14:paraId="563B42D4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A657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a driver’s license and a reliable means of transportation to ensure timely arrival at patient’s homes.</w:t>
            </w:r>
          </w:p>
        </w:tc>
      </w:tr>
      <w:tr w:rsidR="0009604D" w:rsidRPr="0009604D" w14:paraId="4BAD8004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9615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a criminal background check.</w:t>
            </w:r>
          </w:p>
        </w:tc>
      </w:tr>
      <w:tr w:rsidR="0009604D" w:rsidRPr="0009604D" w14:paraId="708FB85F" w14:textId="77777777" w:rsidTr="0009604D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F1DE" w14:textId="77777777" w:rsidR="0009604D" w:rsidRPr="0009604D" w:rsidRDefault="0009604D" w:rsidP="0009604D">
            <w:pPr>
              <w:numPr>
                <w:ilvl w:val="0"/>
                <w:numId w:val="1"/>
              </w:numPr>
              <w:spacing w:before="240" w:beforeAutospacing="1" w:after="240" w:line="273" w:lineRule="auto"/>
              <w:ind w:left="698"/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kern w:val="0"/>
                <w:sz w:val="24"/>
                <w:szCs w:val="24"/>
                <w14:ligatures w14:val="none"/>
              </w:rPr>
              <w:t>Must have current CPR certification. On-line certification is not accepted.</w:t>
            </w:r>
          </w:p>
        </w:tc>
      </w:tr>
      <w:tr w:rsidR="0009604D" w:rsidRPr="0009604D" w14:paraId="42CFA05D" w14:textId="77777777" w:rsidTr="0009604D">
        <w:trPr>
          <w:trHeight w:val="43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14:paraId="54A115D6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olor w:val="FFFFFF"/>
                <w:kern w:val="0"/>
                <w:sz w:val="24"/>
                <w:szCs w:val="24"/>
                <w14:ligatures w14:val="none"/>
              </w:rPr>
              <w:t>ACKNOWLEDGMENT</w:t>
            </w:r>
          </w:p>
        </w:tc>
      </w:tr>
      <w:tr w:rsidR="0009604D" w:rsidRPr="0009604D" w14:paraId="0A5C2200" w14:textId="77777777" w:rsidTr="0009604D">
        <w:trPr>
          <w:trHeight w:val="72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7DFA9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Employee NAME:</w:t>
            </w:r>
          </w:p>
        </w:tc>
      </w:tr>
      <w:tr w:rsidR="0009604D" w:rsidRPr="0009604D" w14:paraId="2E79863F" w14:textId="77777777" w:rsidTr="0009604D">
        <w:trPr>
          <w:trHeight w:val="72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91180B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Employee Signature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420C2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  <w:r w:rsidRPr="0009604D"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  <w:t>DATE:</w:t>
            </w:r>
          </w:p>
        </w:tc>
      </w:tr>
      <w:tr w:rsidR="0009604D" w:rsidRPr="0009604D" w14:paraId="1BC9E0C3" w14:textId="77777777" w:rsidTr="0009604D">
        <w:trPr>
          <w:trHeight w:val="72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E7E7E"/>
            <w:vAlign w:val="center"/>
          </w:tcPr>
          <w:p w14:paraId="071FFB94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E7E7E"/>
            <w:vAlign w:val="center"/>
            <w:hideMark/>
          </w:tcPr>
          <w:p w14:paraId="71030453" w14:textId="77777777" w:rsidR="0009604D" w:rsidRPr="0009604D" w:rsidRDefault="0009604D" w:rsidP="0009604D">
            <w:pPr>
              <w:spacing w:before="240" w:after="240" w:line="273" w:lineRule="auto"/>
              <w:ind w:left="72"/>
              <w:rPr>
                <w:rFonts w:ascii="Arial" w:eastAsia="MS Mincho" w:hAnsi="Arial" w:cs="Arial"/>
                <w:b/>
                <w:cap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72BCB6F" w14:textId="77777777" w:rsidR="0009604D" w:rsidRDefault="0009604D"/>
    <w:sectPr w:rsidR="0009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281A"/>
    <w:multiLevelType w:val="multilevel"/>
    <w:tmpl w:val="5142D44E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ascii="Times New Roman" w:hAnsi="Times New Roman" w:cs="Times New Roman" w:hint="default"/>
      </w:rPr>
    </w:lvl>
  </w:abstractNum>
  <w:num w:numId="1" w16cid:durableId="1740321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D"/>
    <w:rsid w:val="0009604D"/>
    <w:rsid w:val="00D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3D2F"/>
  <w15:chartTrackingRefBased/>
  <w15:docId w15:val="{F43ED5F0-3C6E-4327-86EC-BD72D2E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2597</Characters>
  <Application>Microsoft Office Word</Application>
  <DocSecurity>0</DocSecurity>
  <Lines>44</Lines>
  <Paragraphs>34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Waveney J Williams</dc:creator>
  <cp:keywords/>
  <dc:description/>
  <cp:lastModifiedBy>HR Falcon Homecare LLC</cp:lastModifiedBy>
  <cp:revision>2</cp:revision>
  <dcterms:created xsi:type="dcterms:W3CDTF">2023-04-26T04:42:00Z</dcterms:created>
  <dcterms:modified xsi:type="dcterms:W3CDTF">2023-04-26T04:42:00Z</dcterms:modified>
</cp:coreProperties>
</file>